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/>
      </w:pPr>
      <w:r>
        <w:t xml:space="preserve">Dokumentacja techniczna opakowania</w:t>
      </w:r>
    </w:p>
    <w:p>
      <w:pPr>
        <w:spacing w:after="300"/>
      </w:pPr>
      <w:r>
        <w:rPr>
          <w:color w:val="667085"/>
          <w:sz w:val="20"/>
          <w:szCs w:val="20"/>
        </w:rPr>
        <w:t xml:space="preserve">Struktura według załącznika VII pkt 2 rozporządzenia Parlamentu Europejskiego i Rady (UE) 2025/40 w sprawie opakowań i odpadów opakowaniowych (PPWR)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Czym jest ten plik. Rozporządzenie określa, co dokumentacja techniczna ma zawierać, ale nie narzuca jej wzoru — inaczej niż w przypadku deklaracji zgodności, dla której wzór podano w załączniku VIII. Ten szablon odwzorowuje wymaganą zawartość, żeby żaden element nie został pominięty.</w:t>
            </w:r>
          </w:p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Kto ją sporządza. Dokumentację sporządza wytwórca na własną odpowiedzialność (załącznik VII pkt 1 i 2). Jednostka oceniająca nie może jej za Państwa napisać — dokument opracowany przez oceniającego traci wartość dowodową wobec Państwa odbiorców.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Zakres. Preambuła punktu 2 stanowi, że dokumentacja „w stosownych przypadkach zawiera co najmniej” wymienione elementy. Jest to zatem minimum, a nie lista zamknięta; elementy niemające zastosowania do danego opakowania należy oznaczyć jako nieistotne wraz z uzasadnieniem.</w:t>
            </w:r>
          </w:p>
        </w:tc>
      </w:tr>
    </w:tbl>
    <w:p>
      <w:pPr>
        <w:spacing w:after="300"/>
      </w:pPr>
    </w:p>
    <w:p>
      <w:pPr>
        <w:pStyle w:val="Heading2"/>
      </w:pPr>
      <w:r>
        <w:t xml:space="preserve">Metryka dokumentu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val="clear"/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Wytwórca (nazwa, adres, NIP)</w:t>
            </w:r>
          </w:p>
        </w:tc>
        <w:tc>
          <w:tcPr>
            <w:tcW w:type="dxa" w:w="64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val="clear"/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Jednoznaczna identyfikacja opakowania</w:t>
            </w:r>
          </w:p>
        </w:tc>
        <w:tc>
          <w:tcPr>
            <w:tcW w:type="dxa" w:w="64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val="clear"/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Rodzaj / rodzina materiałowa</w:t>
            </w:r>
          </w:p>
        </w:tc>
        <w:tc>
          <w:tcPr>
            <w:tcW w:type="dxa" w:w="64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val="clear"/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Numer i data wydania dokumentacji</w:t>
            </w:r>
          </w:p>
        </w:tc>
        <w:tc>
          <w:tcPr>
            <w:tcW w:type="dxa" w:w="64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val="clear"/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Osoba odpowiedzialna za dokumentację</w:t>
            </w:r>
          </w:p>
        </w:tc>
        <w:tc>
          <w:tcPr>
            <w:tcW w:type="dxa" w:w="64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200"/>
      </w:pPr>
      <w:r>
        <w:rPr>
          <w:sz w:val="20"/>
          <w:szCs w:val="20"/>
        </w:rPr>
        <w:t xml:space="preserve">Dokumentacja dotyczy opakowania spełniającego wymogi art. 5–12 rozporządzenia w zakresie, w jakim mają one do niego zastosowanie.</w:t>
      </w:r>
    </w:p>
    <w:p>
      <w:pPr>
        <w:pStyle w:val="Heading2"/>
        <w:keepNext/>
        <w:keepLines/>
        <w:spacing w:after="100" w:before="320"/>
      </w:pPr>
      <w:r>
        <w:rPr>
          <w:b/>
          <w:bCs/>
          <w:color w:val="C8102E"/>
          <w:sz w:val="26"/>
          <w:szCs w:val="26"/>
        </w:rPr>
        <w:t xml:space="preserve">a)  </w:t>
      </w:r>
      <w:r>
        <w:rPr>
          <w:b/>
          <w:bCs/>
          <w:color w:val="0F2B4C"/>
          <w:sz w:val="26"/>
          <w:szCs w:val="26"/>
        </w:rPr>
        <w:t xml:space="preserve">Ogólny opis opakowania oraz jego przeznaczenie</w:t>
      </w:r>
    </w:p>
    <w:p>
      <w:pPr>
        <w:keepNext/>
        <w:spacing w:after="140"/>
      </w:pPr>
      <w:r>
        <w:rPr>
          <w:b/>
          <w:bCs/>
          <w:sz w:val="19"/>
          <w:szCs w:val="19"/>
        </w:rPr>
        <w:t xml:space="preserve">Wymóg: </w:t>
      </w:r>
      <w:r>
        <w:rPr>
          <w:sz w:val="19"/>
          <w:szCs w:val="19"/>
        </w:rPr>
        <w:t xml:space="preserve">załącznik VII pkt 2 lit. a</w:t>
      </w:r>
      <w:r>
        <w:rPr>
          <w:color w:val="667085"/>
          <w:sz w:val="19"/>
          <w:szCs w:val="19"/>
        </w:rPr>
        <w:t xml:space="preserve">   ·   Wypełnia: wytwórca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Nazwa handlowa i typ opakowania, jego funkcja w łańcuchu dostaw (jednostkowe, zbiorcze, transportowe), pakowany wyrób, rynki wprowadzenia.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Wskazać, czy opakowanie ma kontakt z żywnością oraz czy jest przeznaczone do wielokrotnego użytku — obie okoliczności zmieniają zakres dalszych wymagań.</w:t>
            </w:r>
          </w:p>
        </w:tc>
      </w:tr>
    </w:tbl>
    <w:p>
      <w:pPr>
        <w:spacing w:after="160"/>
      </w:pP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240"/>
      </w:pPr>
    </w:p>
    <w:p>
      <w:pPr>
        <w:pStyle w:val="Heading2"/>
        <w:keepNext/>
        <w:keepLines/>
        <w:spacing w:after="100" w:before="320"/>
      </w:pPr>
      <w:r>
        <w:rPr>
          <w:b/>
          <w:bCs/>
          <w:color w:val="C8102E"/>
          <w:sz w:val="26"/>
          <w:szCs w:val="26"/>
        </w:rPr>
        <w:t xml:space="preserve">b)  </w:t>
      </w:r>
      <w:r>
        <w:rPr>
          <w:b/>
          <w:bCs/>
          <w:color w:val="0F2B4C"/>
          <w:sz w:val="26"/>
          <w:szCs w:val="26"/>
        </w:rPr>
        <w:t xml:space="preserve">Projekt koncepcyjny, rysunki techniczne oraz materiały części składowych</w:t>
      </w:r>
    </w:p>
    <w:p>
      <w:pPr>
        <w:keepNext/>
        <w:spacing w:after="140"/>
      </w:pPr>
      <w:r>
        <w:rPr>
          <w:b/>
          <w:bCs/>
          <w:sz w:val="19"/>
          <w:szCs w:val="19"/>
        </w:rPr>
        <w:t xml:space="preserve">Wymóg: </w:t>
      </w:r>
      <w:r>
        <w:rPr>
          <w:sz w:val="19"/>
          <w:szCs w:val="19"/>
        </w:rPr>
        <w:t xml:space="preserve">załącznik VII pkt 2 lit. b</w:t>
      </w:r>
      <w:r>
        <w:rPr>
          <w:color w:val="667085"/>
          <w:sz w:val="19"/>
          <w:szCs w:val="19"/>
        </w:rPr>
        <w:t xml:space="preserve">   ·   Wypełnia: wytwórca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Rysunki lub dokumentacja projektowa oraz wykaz wszystkich części składowych z przypisanym materiałem i masą.</w:t>
            </w:r>
          </w:p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Uwzględnić elementy, o których łatwo zapomnieć, a które przesądzają o zgodności: farby i lakiery, kleje, etykiety, zamknięcia, gwoździe, zszywki, zawiasy, impregnaty, warstwy barierowe.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Załączniki graficzne można wpiąć jako odrębne pliki, wskazując tu ich nazwy i daty wydania.</w:t>
            </w:r>
          </w:p>
        </w:tc>
      </w:tr>
    </w:tbl>
    <w:p>
      <w:pPr>
        <w:spacing w:after="160"/>
      </w:pP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240"/>
      </w:pPr>
    </w:p>
    <w:p>
      <w:pPr>
        <w:pStyle w:val="Heading2"/>
        <w:keepNext/>
        <w:keepLines/>
        <w:spacing w:after="100" w:before="320"/>
      </w:pPr>
      <w:r>
        <w:rPr>
          <w:b/>
          <w:bCs/>
          <w:color w:val="C8102E"/>
          <w:sz w:val="26"/>
          <w:szCs w:val="26"/>
        </w:rPr>
        <w:t xml:space="preserve">c)  </w:t>
      </w:r>
      <w:r>
        <w:rPr>
          <w:b/>
          <w:bCs/>
          <w:color w:val="0F2B4C"/>
          <w:sz w:val="26"/>
          <w:szCs w:val="26"/>
        </w:rPr>
        <w:t xml:space="preserve">Opisy i wyjaśnienia niezbędne do zrozumienia rysunków, schematów i działania opakowania</w:t>
      </w:r>
    </w:p>
    <w:p>
      <w:pPr>
        <w:keepNext/>
        <w:spacing w:after="140"/>
      </w:pPr>
      <w:r>
        <w:rPr>
          <w:b/>
          <w:bCs/>
          <w:sz w:val="19"/>
          <w:szCs w:val="19"/>
        </w:rPr>
        <w:t xml:space="preserve">Wymóg: </w:t>
      </w:r>
      <w:r>
        <w:rPr>
          <w:sz w:val="19"/>
          <w:szCs w:val="19"/>
        </w:rPr>
        <w:t xml:space="preserve">załącznik VII pkt 2 lit. c</w:t>
      </w:r>
      <w:r>
        <w:rPr>
          <w:color w:val="667085"/>
          <w:sz w:val="19"/>
          <w:szCs w:val="19"/>
        </w:rPr>
        <w:t xml:space="preserve">   ·   Wypełnia: wytwórca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Opis słowny uzupełniający rysunki: konstrukcja, sposób łączenia elementów, sposób otwierania i zamykania, warunki użytkowania.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Przy opakowaniach wielokrotnego użytku opisać cykl obrotu i sposób odnawiania.</w:t>
            </w:r>
          </w:p>
        </w:tc>
      </w:tr>
    </w:tbl>
    <w:p>
      <w:pPr>
        <w:spacing w:after="160"/>
      </w:pP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240"/>
      </w:pPr>
    </w:p>
    <w:p>
      <w:pPr>
        <w:pStyle w:val="Heading2"/>
        <w:keepNext/>
        <w:keepLines/>
        <w:spacing w:after="100" w:before="320"/>
      </w:pPr>
      <w:r>
        <w:rPr>
          <w:b/>
          <w:bCs/>
          <w:color w:val="C8102E"/>
          <w:sz w:val="26"/>
          <w:szCs w:val="26"/>
        </w:rPr>
        <w:t xml:space="preserve">d)  </w:t>
      </w:r>
      <w:r>
        <w:rPr>
          <w:b/>
          <w:bCs/>
          <w:color w:val="0F2B4C"/>
          <w:sz w:val="26"/>
          <w:szCs w:val="26"/>
        </w:rPr>
        <w:t xml:space="preserve">Wykaz zastosowanych norm i specyfikacji</w:t>
      </w:r>
    </w:p>
    <w:p>
      <w:pPr>
        <w:keepNext/>
        <w:spacing w:after="140"/>
      </w:pPr>
      <w:r>
        <w:rPr>
          <w:b/>
          <w:bCs/>
          <w:sz w:val="19"/>
          <w:szCs w:val="19"/>
        </w:rPr>
        <w:t xml:space="preserve">Wymóg: </w:t>
      </w:r>
      <w:r>
        <w:rPr>
          <w:sz w:val="19"/>
          <w:szCs w:val="19"/>
        </w:rPr>
        <w:t xml:space="preserve">załącznik VII pkt 2 lit. d ppkt (i)–(v)</w:t>
      </w:r>
      <w:r>
        <w:rPr>
          <w:color w:val="667085"/>
          <w:sz w:val="19"/>
          <w:szCs w:val="19"/>
        </w:rPr>
        <w:t xml:space="preserve">   ·   Wypełnia: wytwórca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Wymienić kolejno: normy zharmonizowane wg art. 36 zastosowane w pełni lub częściowo; wspólne specyfikacje wg art. 37; inne specyfikacje techniczne wykorzystane do pomiarów lub obliczeń; przy zastosowaniu częściowym — wskazać zastosowane części.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Uwaga praktyczna: dla wymagań z art. 6, 10 i 11 normy zharmonizowane nie są jeszcze dostępne. W takim przypadku stosuje się ppkt (v) i należy opisać własne rozwiązania przyjęte w celu spełnienia wymogów. Jest to najczęściej pomijany element całej dokumentacji.</w:t>
            </w:r>
          </w:p>
        </w:tc>
      </w:tr>
    </w:tbl>
    <w:p>
      <w:pPr>
        <w:spacing w:after="160"/>
      </w:pP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240"/>
      </w:pPr>
    </w:p>
    <w:p>
      <w:pPr>
        <w:pStyle w:val="Heading2"/>
        <w:keepNext/>
        <w:keepLines/>
        <w:spacing w:after="100" w:before="320"/>
      </w:pPr>
      <w:r>
        <w:rPr>
          <w:b/>
          <w:bCs/>
          <w:color w:val="C8102E"/>
          <w:sz w:val="26"/>
          <w:szCs w:val="26"/>
        </w:rPr>
        <w:t xml:space="preserve">e)  </w:t>
      </w:r>
      <w:r>
        <w:rPr>
          <w:b/>
          <w:bCs/>
          <w:color w:val="0F2B4C"/>
          <w:sz w:val="26"/>
          <w:szCs w:val="26"/>
        </w:rPr>
        <w:t xml:space="preserve">Jakościowy opis sposobu przeprowadzenia ocen z art. 6, 10 i 11</w:t>
      </w:r>
    </w:p>
    <w:p>
      <w:pPr>
        <w:keepNext/>
        <w:spacing w:after="140"/>
      </w:pPr>
      <w:r>
        <w:rPr>
          <w:b/>
          <w:bCs/>
          <w:sz w:val="19"/>
          <w:szCs w:val="19"/>
        </w:rPr>
        <w:t xml:space="preserve">Wymóg: </w:t>
      </w:r>
      <w:r>
        <w:rPr>
          <w:sz w:val="19"/>
          <w:szCs w:val="19"/>
        </w:rPr>
        <w:t xml:space="preserve">załącznik VII pkt 2 lit. e</w:t>
      </w:r>
      <w:r>
        <w:rPr>
          <w:color w:val="667085"/>
          <w:sz w:val="19"/>
          <w:szCs w:val="19"/>
        </w:rPr>
        <w:t xml:space="preserve">   ·   Wypełnia: wytwórca; można wpiąć raport jednostki oceniającej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Dotyczy zdatności do recyklingu (art. 6), minimalizacji masy i objętości (art. 10) oraz opakowań wielokrotnego użytku (art. 11), w zakresie, w jakim mają zastosowanie.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W tym miejscu wpina się raport z niezależnej weryfikacji, jeżeli została przeprowadzona. Raport nie zastępuje pozostałych elementów dokumentacji ani podpisu wytwórcy — dokumentuje sposób i wynik oceny.</w:t>
            </w:r>
          </w:p>
        </w:tc>
      </w:tr>
    </w:tbl>
    <w:p>
      <w:pPr>
        <w:spacing w:after="160"/>
      </w:pP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240"/>
      </w:pPr>
    </w:p>
    <w:p>
      <w:pPr>
        <w:pStyle w:val="Heading2"/>
        <w:keepNext/>
        <w:keepLines/>
        <w:spacing w:after="100" w:before="320"/>
      </w:pPr>
      <w:r>
        <w:rPr>
          <w:b/>
          <w:bCs/>
          <w:color w:val="C8102E"/>
          <w:sz w:val="26"/>
          <w:szCs w:val="26"/>
        </w:rPr>
        <w:t xml:space="preserve">f)  </w:t>
      </w:r>
      <w:r>
        <w:rPr>
          <w:b/>
          <w:bCs/>
          <w:color w:val="0F2B4C"/>
          <w:sz w:val="26"/>
          <w:szCs w:val="26"/>
        </w:rPr>
        <w:t xml:space="preserve">Sprawozdania z badań</w:t>
      </w:r>
    </w:p>
    <w:p>
      <w:pPr>
        <w:keepNext/>
        <w:spacing w:after="140"/>
      </w:pPr>
      <w:r>
        <w:rPr>
          <w:b/>
          <w:bCs/>
          <w:sz w:val="19"/>
          <w:szCs w:val="19"/>
        </w:rPr>
        <w:t xml:space="preserve">Wymóg: </w:t>
      </w:r>
      <w:r>
        <w:rPr>
          <w:sz w:val="19"/>
          <w:szCs w:val="19"/>
        </w:rPr>
        <w:t xml:space="preserve">załącznik VII pkt 2 lit. f</w:t>
      </w:r>
      <w:r>
        <w:rPr>
          <w:color w:val="667085"/>
          <w:sz w:val="19"/>
          <w:szCs w:val="19"/>
        </w:rPr>
        <w:t xml:space="preserve">   ·   Wypełnia: laboratorium; wytwórca kompletuje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Sprawozdania z badań laboratoryjnych właściwych dla danego opakowania, na przykład sumy metali ciężkich (art. 5 ust. 4) albo substancji per- i polifluoroalkilowych przy kontakcie z żywnością (art. 5 ust. 5).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Wskazać laboratorium, metodę, datę badania i badaną próbkę. Jeżeli badania nie były wymagane, odnotować to wraz z uzasadnieniem.</w:t>
            </w:r>
          </w:p>
        </w:tc>
      </w:tr>
    </w:tbl>
    <w:p>
      <w:pPr>
        <w:spacing w:after="160"/>
      </w:pP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spacing w:after="0"/>
      </w:pPr>
      <w:r>
        <w:rPr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240"/>
      </w:pPr>
    </w:p>
    <w:p>
      <w:pPr>
        <w:pStyle w:val="Heading2"/>
        <w:keepNext/>
      </w:pPr>
      <w:r>
        <w:t xml:space="preserve">Obowiązki powiązane z dokumentacją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CCCCC" w:sz="1"/>
              <w:left w:val="single" w:color="C8102E" w:sz="12"/>
              <w:bottom w:val="single" w:color="CCCCCC" w:sz="1"/>
              <w:right w:val="single" w:color="CCCCCC" w:sz="1"/>
            </w:tcBorders>
            <w:shd w:fill="F5F6F8" w:val="clear"/>
            <w:tcMar>
              <w:top w:type="dxa" w:w="120"/>
              <w:left w:type="dxa" w:w="18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Wytwarzanie (załącznik VII pkt 3). Wytwórca wprowadza środki zapewniające, że proces wytwarzania i jego monitorowanie utrzymują zgodność wyrobu z niniejszą dokumentacją.</w:t>
            </w:r>
          </w:p>
          <w:p>
            <w:pPr>
              <w:spacing w:after="8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Deklaracja zgodności (załącznik VII pkt 4). Wytwórca sporządza pisemną deklarację zgodności dla każdego rodzaju opakowania, według wzoru z załącznika VIII, i przechowuje ją wraz z dokumentacją techniczną do dyspozycji organów krajowych: pięć lat dla opakowań jednorazowego użytku i dziesięć lat dla opakowań wielokrotnego użytku.</w:t>
            </w:r>
          </w:p>
          <w:p>
            <w:pPr>
              <w:spacing w:after="0"/>
            </w:pPr>
            <w:r>
              <w:rPr>
                <w:i/>
                <w:iCs/>
                <w:color w:val="3A4657"/>
                <w:sz w:val="18"/>
                <w:szCs w:val="18"/>
              </w:rPr>
              <w:t xml:space="preserve">Upoważniony przedstawiciel (załącznik VII pkt 5). Prowadzenie dokumentacji może wykonywać upoważniony przedstawiciel w imieniu i na odpowiedzialność wytwórcy, jeżeli obowiązek ten został wyszczególniony w upoważnieniu.</w:t>
            </w:r>
          </w:p>
        </w:tc>
      </w:tr>
    </w:tbl>
    <w:p>
      <w:pPr>
        <w:spacing w:after="300"/>
      </w:pPr>
    </w:p>
    <w:p>
      <w:pPr>
        <w:pStyle w:val="Heading2"/>
      </w:pPr>
      <w:r>
        <w:t xml:space="preserve">Oświadczenie sporządzającego</w:t>
      </w:r>
    </w:p>
    <w:p>
      <w:pPr>
        <w:spacing w:after="400"/>
      </w:pPr>
      <w:r>
        <w:rPr>
          <w:sz w:val="20"/>
          <w:szCs w:val="20"/>
        </w:rPr>
        <w:t xml:space="preserve">Niniejszą dokumentację techniczną sporządzono na wyłączną odpowiedzialność wytwórcy, zgodnie z załącznikiem VII pkt 2 rozporządzenia (UE) 2025/40.</w:t>
      </w:r>
    </w:p>
    <w:p>
      <w:pPr>
        <w:pBdr>
          <w:top w:val="single" w:color="999999" w:sz="4" w:space="4"/>
        </w:pBdr>
        <w:tabs>
          <w:tab w:val="right" w:pos="9026"/>
        </w:tabs>
        <w:spacing w:before="600"/>
      </w:pPr>
      <w:r>
        <w:rPr>
          <w:color w:val="667085"/>
          <w:sz w:val="18"/>
          <w:szCs w:val="18"/>
        </w:rPr>
        <w:t xml:space="preserve">miejscowość i data</w:t>
      </w:r>
      <w:r>
        <w:rPr>
          <w:color w:val="667085"/>
          <w:sz w:val="18"/>
          <w:szCs w:val="18"/>
        </w:rPr>
        <w:t xml:space="preserve">	imię, nazwisko i podpis osoby upoważnionej</w:t>
      </w:r>
    </w:p>
    <w:p>
      <w:pPr>
        <w:spacing w:after="500"/>
      </w:pPr>
    </w:p>
    <w:p>
      <w:pPr>
        <w:pBdr>
          <w:top w:val="single" w:color="CCCCCC" w:sz="4" w:space="6"/>
        </w:pBdr>
        <w:spacing w:before="300"/>
      </w:pPr>
      <w:r>
        <w:rPr>
          <w:color w:val="667085"/>
          <w:sz w:val="16"/>
          <w:szCs w:val="16"/>
        </w:rPr>
        <w:t xml:space="preserve">Szablon opracowany przez Multicert Sp. z o.o. jako materiał informacyjny. Odwzorowuje strukturę wymaganą przepisem i nie zastępuje treści merytorycznej, którą wnosi wytwórca. Multicert prowadzi niezależną weryfikację dokumentacji i opakowania w programie Safe &amp; Circular — multicert.pl/ppwr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667085"/>
        <w:sz w:val="16"/>
        <w:szCs w:val="16"/>
      </w:rPr>
      <w:t xml:space="preserve">Szablon struktury · Multicert</w:t>
    </w:r>
    <w:r>
      <w:rPr>
        <w:color w:val="667085"/>
        <w:sz w:val="16"/>
        <w:szCs w:val="16"/>
      </w:rPr>
      <w:t xml:space="preserve">	strona </w:t>
    </w:r>
    <w:r>
      <w:rPr>
        <w:color w:val="66708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6"/>
      </w:pBdr>
      <w:tabs>
        <w:tab w:val="right" w:pos="9026"/>
      </w:tabs>
    </w:pPr>
    <w:r>
      <w:rPr>
        <w:color w:val="667085"/>
        <w:sz w:val="16"/>
        <w:szCs w:val="16"/>
      </w:rPr>
      <w:t xml:space="preserve">Dokumentacja techniczna opakowania</w:t>
    </w:r>
    <w:r>
      <w:rPr>
        <w:color w:val="667085"/>
        <w:sz w:val="16"/>
        <w:szCs w:val="16"/>
      </w:rPr>
      <w:t xml:space="preserve">	załącznik VII pkt 2 rozporządzenia (UE) 2025/40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00"/>
      <w:outlineLvl w:val="0"/>
    </w:pPr>
    <w:rPr>
      <w:rFonts w:ascii="Arial" w:cs="Arial" w:eastAsia="Arial" w:hAnsi="Arial"/>
      <w:b/>
      <w:bCs/>
      <w:color w:val="0F2B4C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0F2B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2026-08-01T04:49:57.118Z</dcterms:created>
  <dcterms:modified xsi:type="dcterms:W3CDTF">2026-08-01T04:49:57.118Z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